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  <w:drawing>
          <wp:anchor behindDoc="0" distT="152400" distB="152400" distL="152400" distR="152400" simplePos="0" locked="0" layoutInCell="1" allowOverlap="1" relativeHeight="0">
            <wp:simplePos x="0" y="0"/>
            <wp:positionH relativeFrom="margin">
              <wp:posOffset>0</wp:posOffset>
            </wp:positionH>
            <wp:positionV relativeFrom="page">
              <wp:posOffset>556260</wp:posOffset>
            </wp:positionV>
            <wp:extent cx="1898650" cy="556260"/>
            <wp:effectExtent l="0" t="0" r="0" b="0"/>
            <wp:wrapSquare wrapText="bothSides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behindDoc="0" distT="152400" distB="152400" distL="152400" distR="152400" simplePos="0" locked="0" layoutInCell="1" allowOverlap="1" relativeHeight="1">
            <wp:simplePos x="0" y="0"/>
            <wp:positionH relativeFrom="margin">
              <wp:posOffset>4572000</wp:posOffset>
            </wp:positionH>
            <wp:positionV relativeFrom="page">
              <wp:posOffset>442595</wp:posOffset>
            </wp:positionV>
            <wp:extent cx="1417955" cy="994410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99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  <w:t>Convegno Regionale</w:t>
      </w:r>
    </w:p>
    <w:p>
      <w:pPr>
        <w:pStyle w:val="Normal"/>
        <w:spacing w:lineRule="auto" w:line="3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AMBIENTE E TERRITORIO: </w:t>
      </w:r>
    </w:p>
    <w:p>
      <w:pPr>
        <w:pStyle w:val="Normal"/>
        <w:spacing w:lineRule="auto" w:line="360"/>
        <w:jc w:val="center"/>
        <w:rPr>
          <w:sz w:val="32"/>
          <w:szCs w:val="32"/>
        </w:rPr>
      </w:pPr>
      <w:r>
        <w:rPr>
          <w:sz w:val="32"/>
          <w:szCs w:val="32"/>
        </w:rPr>
        <w:t>L’URGENZA DI UNA STRATEGIA PER IL FUTURO</w:t>
      </w:r>
    </w:p>
    <w:p>
      <w:pPr>
        <w:pStyle w:val="Normal"/>
        <w:spacing w:lineRule="auto" w:line="360"/>
        <w:ind w:left="2832" w:right="0" w:firstLine="708"/>
        <w:rPr/>
      </w:pPr>
      <w:r>
        <w:rPr/>
        <w:t>Ragusa, 14-15 Marzo 2015</w:t>
      </w:r>
    </w:p>
    <w:p>
      <w:pPr>
        <w:pStyle w:val="Normal"/>
        <w:spacing w:lineRule="auto" w:line="360"/>
        <w:ind w:left="2832" w:right="0" w:firstLine="708"/>
        <w:rPr/>
      </w:pPr>
      <w:r>
        <w:rPr/>
      </w:r>
    </w:p>
    <w:p>
      <w:pPr>
        <w:pStyle w:val="Normal"/>
        <w:spacing w:lineRule="auto" w:line="360"/>
        <w:jc w:val="center"/>
        <w:rPr>
          <w:b/>
          <w:sz w:val="28"/>
        </w:rPr>
      </w:pPr>
      <w:r>
        <w:rPr>
          <w:b/>
          <w:sz w:val="28"/>
        </w:rPr>
        <w:t>RELAZIONE INTRODUTTIVA AI LAVORI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Spacing"/>
        <w:spacing w:lineRule="auto" w:line="360"/>
        <w:jc w:val="both"/>
        <w:rPr>
          <w:color w:val="00B050"/>
        </w:rPr>
      </w:pPr>
      <w:r>
        <w:rPr/>
        <w:t>Riguardo al tema dell’ambiente si concentrano oggi preoccupazioni e speranze. La fragilità del nostro pianeta è messa a dura prova da un uso spavaldo delle sue risorse e dal venir meno della sua salvaguardia. Il Santo Padre Francesco nella sua omelia del 19 marzo 2013, data d’inizio del suo ministero petrino, ha esortato dicendo che “</w:t>
      </w:r>
      <w:r>
        <w:rPr>
          <w:i/>
          <w:iCs/>
        </w:rPr>
        <w:t>La vocazione del custodire non riguarda solamente noi cristiani perché ha una dimensione che precede e che è semplicemente umana, riguarda tutti. È l’avere rispetto per ogni creatura di Dio e per l’ambiente in cui viviamo</w:t>
      </w:r>
      <w:r>
        <w:rPr/>
        <w:t xml:space="preserve">”. Papa Francesco, che sta scrivendo un’enciclica sull’ambiente, a margine di una udienza dello scorso anno, ha avvertito che </w:t>
      </w:r>
      <w:r>
        <w:rPr>
          <w:i/>
        </w:rPr>
        <w:t xml:space="preserve">“Se noi distruggiamo il Creato, il Creato ci distruggerà”. </w:t>
      </w:r>
      <w:r>
        <w:rPr/>
        <w:t>Ed è proprio sulla vocazione del custodire che questo convegno vuole porre l’attenzione, guardando ai territori in cui viviamo e individuando per essi una strategia di crescita sostenibile. Perché questo si concretizzi è necessario l’impegno di tutti. “Il Signore Dio prese l’uomo e lo pose nel giardino di Eden, perché lo coltivasse e lo custodisse” (Gen 2, 15). Dio creò l’uomo perché si prendesse cura della sua terra e la custodisse per le generazioni avvenire</w:t>
      </w:r>
      <w:r>
        <w:rPr>
          <w:rStyle w:val="Richiamoallanotaapidipagina"/>
        </w:rPr>
        <w:footnoteReference w:id="2"/>
      </w:r>
      <w:r>
        <w:rPr/>
        <w:t>.</w:t>
      </w:r>
      <w:r>
        <w:rPr>
          <w:color w:val="00B050"/>
        </w:rPr>
        <w:t xml:space="preserve"> </w:t>
      </w:r>
    </w:p>
    <w:p>
      <w:pPr>
        <w:pStyle w:val="NoSpacing"/>
        <w:spacing w:lineRule="auto" w:line="360"/>
        <w:jc w:val="both"/>
        <w:rPr>
          <w:color w:val="00B050"/>
        </w:rPr>
      </w:pPr>
      <w:r>
        <w:rPr>
          <w:color w:val="00B050"/>
        </w:rPr>
      </w:r>
    </w:p>
    <w:p>
      <w:pPr>
        <w:pStyle w:val="Normal"/>
        <w:spacing w:lineRule="auto" w:line="360"/>
        <w:jc w:val="both"/>
        <w:rPr>
          <w:rFonts w:cs="Calibri"/>
          <w:lang w:eastAsia="en-US"/>
        </w:rPr>
      </w:pPr>
      <w:r>
        <w:rPr/>
        <w:t xml:space="preserve">Su questi temi sia il Meic che la Fuci hanno rivolto già negli ultimi anni una grande sensibilità. Il Meic, infatti, sin dal 2008 ha portato avanti il “Progetto Camaldoli – Idee per la città futura”: </w:t>
      </w:r>
      <w:r>
        <w:rPr>
          <w:sz w:val="28"/>
        </w:rPr>
        <w:t xml:space="preserve"> </w:t>
      </w:r>
      <w:r>
        <w:rPr>
          <w:rFonts w:cs="Calibri"/>
          <w:szCs w:val="23"/>
          <w:lang w:eastAsia="en-US"/>
        </w:rPr>
        <w:t xml:space="preserve">il titolo dato a questo lavoro, affermava l’allora presidente Renato Balduzzi, evoca volutamente la straordinaria esperienza spirituale e ambientale di Camaldoli, come legame ideale con una vicenda iniziata oltre sessantacinque anni fa, quando nacque quel documento tra i più interessanti della storia italiana del novecento, quei </w:t>
      </w:r>
      <w:r>
        <w:rPr>
          <w:rFonts w:cs="Calibri"/>
          <w:i/>
          <w:iCs/>
          <w:szCs w:val="23"/>
          <w:lang w:eastAsia="en-US"/>
        </w:rPr>
        <w:t>Principi dell’ordinamento sociale a cura di un gruppo di studiosi</w:t>
      </w:r>
      <w:r>
        <w:rPr>
          <w:rFonts w:cs="Calibri"/>
          <w:szCs w:val="23"/>
          <w:lang w:eastAsia="en-US"/>
        </w:rPr>
        <w:t xml:space="preserve"> </w:t>
      </w:r>
      <w:r>
        <w:rPr>
          <w:rFonts w:cs="Calibri"/>
          <w:i/>
          <w:iCs/>
          <w:szCs w:val="23"/>
          <w:lang w:eastAsia="en-US"/>
        </w:rPr>
        <w:t xml:space="preserve">amici di Camaldoli, </w:t>
      </w:r>
      <w:r>
        <w:rPr>
          <w:rFonts w:cs="Calibri"/>
          <w:szCs w:val="23"/>
          <w:lang w:eastAsia="en-US"/>
        </w:rPr>
        <w:t>poi conosciuti come “Codice di Camaldoli”. Nel progetto si parlava dell’emergenza ecologica attraverso il tema: “Ambiente: salvaguardia del creato, responsabilità verso il futuro”</w:t>
      </w:r>
      <w:r>
        <w:rPr>
          <w:rStyle w:val="Richiamoallanotaapidipagina"/>
          <w:rFonts w:cs="Calibri"/>
          <w:szCs w:val="23"/>
          <w:lang w:eastAsia="en-US"/>
        </w:rPr>
        <w:footnoteReference w:id="3"/>
      </w:r>
      <w:r>
        <w:rPr>
          <w:rFonts w:cs="Calibri"/>
          <w:szCs w:val="23"/>
          <w:lang w:eastAsia="en-US"/>
        </w:rPr>
        <w:t>. La Fuci nello scorso congresso nazionale di Padova ha approvato due mozioni aventi il tema dell’ambiente: “Naturalmente responsabili”</w:t>
      </w:r>
      <w:r>
        <w:rPr>
          <w:rStyle w:val="Richiamoallanotaapidipagina"/>
          <w:rFonts w:cs="Calibri"/>
          <w:szCs w:val="23"/>
          <w:lang w:eastAsia="en-US"/>
        </w:rPr>
        <w:footnoteReference w:id="4"/>
      </w:r>
      <w:r>
        <w:rPr>
          <w:rFonts w:cs="Calibri"/>
          <w:szCs w:val="23"/>
          <w:lang w:eastAsia="en-US"/>
        </w:rPr>
        <w:t>, dove si afferma la necessità di un’attenzione maggiore e di un agire più consapevole per una vera “rivoluzione ecologica”, e “Nutrire il pianeta, nutrire noi stessi […]”</w:t>
      </w:r>
      <w:r>
        <w:rPr>
          <w:rStyle w:val="Richiamoallanotaapidipagina"/>
          <w:rFonts w:cs="Calibri"/>
          <w:szCs w:val="23"/>
          <w:lang w:eastAsia="en-US"/>
        </w:rPr>
        <w:footnoteReference w:id="5"/>
      </w:r>
      <w:r>
        <w:rPr>
          <w:rFonts w:cs="Calibri"/>
          <w:szCs w:val="23"/>
          <w:lang w:eastAsia="en-US"/>
        </w:rPr>
        <w:t>, che rimarca lo slogan dell’Expo Milano 2015, la più grande esposizione universale sul tema dell’alimentazione che il nostro Paese ospiterà a partire dal prossimo 1 maggio, e mette in risalto non solo il cibo, ma anche l’energie e le risorse del pianeta come base per una sana alimentazione:</w:t>
      </w:r>
      <w:r>
        <w:rPr>
          <w:rFonts w:cs="Garamond" w:ascii="Garamond" w:hAnsi="Garamond"/>
          <w:lang w:eastAsia="en-US"/>
        </w:rPr>
        <w:t xml:space="preserve"> </w:t>
      </w:r>
      <w:r>
        <w:rPr>
          <w:rFonts w:cs="Calibri"/>
          <w:lang w:eastAsia="en-US"/>
        </w:rPr>
        <w:t>“siamo ciò che mangiamo” diceva Feuerbach.</w:t>
      </w:r>
    </w:p>
    <w:p>
      <w:pPr>
        <w:pStyle w:val="Normal"/>
        <w:spacing w:lineRule="auto" w:line="360"/>
        <w:jc w:val="both"/>
        <w:rPr>
          <w:rFonts w:cs="Calibri"/>
          <w:szCs w:val="23"/>
          <w:lang w:eastAsia="en-US"/>
        </w:rPr>
      </w:pPr>
      <w:r>
        <w:rPr>
          <w:rFonts w:cs="Calibri"/>
          <w:szCs w:val="23"/>
          <w:lang w:eastAsia="en-US"/>
        </w:rPr>
      </w:r>
    </w:p>
    <w:p>
      <w:pPr>
        <w:pStyle w:val="NoSpacing"/>
        <w:spacing w:lineRule="auto" w:line="360"/>
        <w:jc w:val="both"/>
        <w:rPr/>
      </w:pPr>
      <w:r>
        <w:rPr/>
        <w:t xml:space="preserve">I lavori di questo convegno, dal titolo “Ambiente e territorio. L’urgenza di una strategia per il futuro”, prenderanno spunto dal </w:t>
      </w:r>
      <w:r>
        <w:rPr>
          <w:szCs w:val="18"/>
        </w:rPr>
        <w:t>Messaggio della Conferenza episcopale italiana per la 9ª Giornata per la custodia del creato</w:t>
      </w:r>
      <w:r>
        <w:rPr/>
        <w:t>. In esso sono messi in risalto l’impegno culturale, la denuncia dei disastri ecologici e l’attuazione di una rete di speranza. Significative sono le parole di San Paolo ai Corinzi: “Chi pianta e chi irriga sono una sola cosa, ma ciascuno riceverà la sua mercede secondo il proprio lavoro. Siamo infatti collaboratori di Dio e voi siete il campo di Dio, l’edificio di Dio” (1Cor 3,8-9)</w:t>
      </w:r>
      <w:r>
        <w:rPr>
          <w:rStyle w:val="Richiamoallanotaapidipagina"/>
        </w:rPr>
        <w:footnoteReference w:id="6"/>
      </w:r>
      <w:r>
        <w:rPr/>
        <w:t>. Questa espressione manifesta la consapevolezza, forse oggi sbiadita, della propria identità e del proprio ruolo all’interno del disegno di Dio. Nella stessa lettera San Paolo afferma che</w:t>
      </w:r>
      <w:r>
        <w:rPr>
          <w:szCs w:val="18"/>
        </w:rPr>
        <w:t xml:space="preserve"> “A ciascuno di noi Dio ha affidato un compito. Io ho piantato, Apollo ha irrigato, ma era Dio che faceva crescere. Perciò chi pianta e chi annaffia non contano nulla: chi conta è Dio che fa crescere” (1Cor 3,6). È fondamentale recuperare, ha sostenuto Fabio Caporali, coordinatore Osservatorio ambiente e ecologia del Meic in un recente articolo, il concetto di lavoro come servizio reso a Dio e non solo agli uomini. Il servizio dell’uomo deve essere a supporto della sostenibilità. E’ nostra responsabilità custodire l’acqua, l’aria, il suolo, le biomasse e l’energia, che nell’insieme rendono abitabile il nostro pianeta</w:t>
      </w:r>
      <w:r>
        <w:rPr>
          <w:rStyle w:val="Richiamoallanotaapidipagina"/>
          <w:szCs w:val="18"/>
        </w:rPr>
        <w:footnoteReference w:id="7"/>
      </w:r>
      <w:r>
        <w:rPr>
          <w:szCs w:val="18"/>
        </w:rPr>
        <w:t>. Da qui la necessità di essere custodi attenti, o meglio, “amministratori fedeli” (1Cor 4,2).</w:t>
      </w:r>
      <w:r>
        <w:rPr/>
        <w:t xml:space="preserve"> Abbiamo cioè bisogno, come suggeriscono i vescovi italiani, “di un’economia capace di generare lavoro senza violare la terra, valorizzandola piuttosto come ricchezza produttiva e come crescita sociale”</w:t>
      </w:r>
      <w:r>
        <w:rPr>
          <w:rStyle w:val="Richiamoallanotaapidipagina"/>
        </w:rPr>
        <w:footnoteReference w:id="8"/>
      </w:r>
      <w:r>
        <w:rPr/>
        <w:t>.</w:t>
      </w:r>
    </w:p>
    <w:p>
      <w:pPr>
        <w:pStyle w:val="NoSpacing"/>
        <w:spacing w:lineRule="auto" w:line="360"/>
        <w:jc w:val="both"/>
        <w:rPr/>
      </w:pPr>
      <w:r>
        <w:rPr>
          <w:szCs w:val="18"/>
        </w:rPr>
        <w:t>Nei confronti di chi viola l’armonia del creato, continuano i vescovi italiani, occorre alzare al voce. Bisogna farsi sentinella del territorio e denunciare i disastri ecologici: “</w:t>
      </w:r>
      <w:r>
        <w:rPr/>
        <w:t>Ci vuole sempre qualcuno che, come sentinella, coglie per primo i problemi e rende consapevole tutta la comunità della gravità della situazione. Specie davanti ai rifiuti. Chi ha tristemente inquinato, deve consapevolmente pagare riparando il male compiuto”</w:t>
      </w:r>
      <w:r>
        <w:rPr>
          <w:rStyle w:val="Richiamoallanotaapidipagina"/>
        </w:rPr>
        <w:footnoteReference w:id="9"/>
      </w:r>
      <w:r>
        <w:rPr/>
        <w:t xml:space="preserve">. Ma anche le nostre piccole violazioni quotidiane vanno segnalate, soprattutto quando sono poco rispettosi delle regole ecologiche. </w:t>
      </w:r>
    </w:p>
    <w:p>
      <w:pPr>
        <w:pStyle w:val="NoSpacing"/>
        <w:spacing w:lineRule="auto" w:line="360"/>
        <w:jc w:val="both"/>
        <w:rPr/>
      </w:pPr>
      <w:r>
        <w:rPr/>
        <w:t>La sfida di una strategia per il futuro si fonda allora sulla vocazione ad amare e custodire il nostro territorio. “Per la salute dei nostri paesi e delle nostre città” siamo chiamati a cooperare con la società civile e le Istituzioni. Il frutto di questa collaborazione non può che essere, affermano i vescovi italiani, una “rinnovata etica civile”</w:t>
      </w:r>
      <w:r>
        <w:rPr>
          <w:rStyle w:val="Richiamoallanotaapidipagina"/>
        </w:rPr>
        <w:footnoteReference w:id="10"/>
      </w:r>
      <w:r>
        <w:rPr/>
        <w:t>. E non meno importante, ha avanzato Giuseppe Rossi che in passato si è occupato di tematiche ambientali per la Conferenza episcopale siciliana,  deve essere il contributo delle comunità ecclesiali nel campo culturale, nel promuovere una nuova etica personale e comunitaria e stimolare una più incisiva azione politica nel campo della tutela dell’ambiente. In particolare bisognerà attuare, coinvolgendo le Istituzioni a vari livelli, una politica di prevenzione e abbandonare quella dell’emergenza; contenere i consumi delle risorse e prestare maggiore attenzione al fenomeno dell’inquinamento</w:t>
      </w:r>
      <w:r>
        <w:rPr>
          <w:rStyle w:val="Richiamoallanotaapidipagina"/>
        </w:rPr>
        <w:footnoteReference w:id="11"/>
      </w:r>
      <w:r>
        <w:rPr/>
        <w:t xml:space="preserve">. </w:t>
      </w:r>
    </w:p>
    <w:p>
      <w:pPr>
        <w:pStyle w:val="NoSpacing"/>
        <w:spacing w:lineRule="auto" w:line="360"/>
        <w:jc w:val="both"/>
        <w:rPr>
          <w:color w:val="FF0000"/>
        </w:rPr>
      </w:pPr>
      <w:r>
        <w:rPr>
          <w:color w:val="FF0000"/>
        </w:rPr>
      </w:r>
    </w:p>
    <w:p>
      <w:pPr>
        <w:pStyle w:val="NoSpacing"/>
        <w:spacing w:lineRule="auto" w:line="360"/>
        <w:jc w:val="both"/>
        <w:rPr>
          <w:rStyle w:val="A14"/>
          <w:sz w:val="24"/>
          <w:szCs w:val="24"/>
        </w:rPr>
      </w:pPr>
      <w:r>
        <w:rPr>
          <w:rStyle w:val="A11"/>
          <w:color w:val="00000A"/>
          <w:sz w:val="24"/>
        </w:rPr>
        <w:t>Esempi di collaborazione proficua tra enti e Istituzioni</w:t>
      </w:r>
      <w:r>
        <w:rPr>
          <w:rStyle w:val="A11"/>
          <w:sz w:val="24"/>
        </w:rPr>
        <w:t xml:space="preserve"> sono nati proprio in Sicilia. </w:t>
      </w:r>
      <w:r>
        <w:rPr>
          <w:rStyle w:val="A11"/>
          <w:sz w:val="24"/>
          <w:szCs w:val="24"/>
        </w:rPr>
        <w:t>Come il GARDMED, che promuove la conoscenza e la fruizione dei giardini mediterranei mediante l’istituzione di una rete di giardini scelti nei ter</w:t>
        <w:softHyphen/>
        <w:t>ritori di Sicilia e Malta, con lo scopo di favorirne la conservazione, la va</w:t>
        <w:softHyphen/>
        <w:t xml:space="preserve">lorizzazione, la gestione sostenibile e la promozione turistico-culturale. I promotori si sono posti questa domanda: </w:t>
      </w:r>
      <w:r>
        <w:rPr>
          <w:rStyle w:val="A14"/>
          <w:sz w:val="24"/>
          <w:szCs w:val="24"/>
        </w:rPr>
        <w:t>come trasformare i giardini, e in parti</w:t>
        <w:softHyphen/>
        <w:t>colare quelli mediterranei, da costo a risorsa per la collettività? Oggi, in tempi in cui diviene sempre più urgente, sia per la pubblica amministrazione sia per i privati, fare i conti con le risorse dispo</w:t>
        <w:softHyphen/>
        <w:t>nibili − siano esse economiche, umane o ambientali − occorre domandarsi, anche per i giardini, quale sia effettiva</w:t>
        <w:softHyphen/>
        <w:t>mente il loro valore, la loro funzione e la loro potenzialità</w:t>
      </w:r>
      <w:r>
        <w:rPr>
          <w:rStyle w:val="A14"/>
          <w:rStyle w:val="Richiamoallanotaapidipagina"/>
          <w:sz w:val="24"/>
          <w:szCs w:val="24"/>
        </w:rPr>
        <w:footnoteReference w:id="12"/>
      </w:r>
      <w:r>
        <w:rPr>
          <w:rStyle w:val="A14"/>
          <w:sz w:val="24"/>
          <w:szCs w:val="24"/>
        </w:rPr>
        <w:t>.</w:t>
      </w:r>
    </w:p>
    <w:p>
      <w:pPr>
        <w:pStyle w:val="NoSpacing"/>
        <w:spacing w:lineRule="auto" w:line="360"/>
        <w:jc w:val="both"/>
        <w:rPr>
          <w:rStyle w:val="A11"/>
          <w:sz w:val="24"/>
          <w:szCs w:val="24"/>
        </w:rPr>
      </w:pPr>
      <w:r>
        <w:rPr>
          <w:rStyle w:val="A11"/>
          <w:sz w:val="24"/>
          <w:szCs w:val="24"/>
        </w:rPr>
        <w:t>Il progetto GARDMED è frutto di un confronto e scam</w:t>
        <w:softHyphen/>
        <w:t>bio d’esperienze e collaborazioni tra soggetti pubblici e privati che condi</w:t>
        <w:softHyphen/>
        <w:t>vidono analoghe esigenze di conser</w:t>
        <w:softHyphen/>
        <w:t>vazione, uso e gestione dei giardini in area mediterranea</w:t>
      </w:r>
      <w:r>
        <w:rPr>
          <w:rStyle w:val="A11"/>
          <w:rStyle w:val="Richiamoallanotaapidipagina"/>
          <w:sz w:val="24"/>
          <w:szCs w:val="24"/>
        </w:rPr>
        <w:footnoteReference w:id="13"/>
      </w:r>
      <w:r>
        <w:rPr>
          <w:rStyle w:val="A11"/>
          <w:sz w:val="24"/>
          <w:szCs w:val="24"/>
        </w:rPr>
        <w:t>.</w:t>
      </w:r>
    </w:p>
    <w:p>
      <w:pPr>
        <w:pStyle w:val="NoSpacing"/>
        <w:spacing w:lineRule="auto" w:line="360"/>
        <w:jc w:val="both"/>
        <w:rPr>
          <w:rStyle w:val="Richiamoallanotaapidipagina"/>
          <w:rFonts w:cs="Calibri"/>
          <w:lang w:eastAsia="en-US"/>
        </w:rPr>
      </w:pPr>
      <w:r>
        <w:rPr>
          <w:rStyle w:val="A11"/>
          <w:sz w:val="24"/>
          <w:szCs w:val="24"/>
        </w:rPr>
        <w:t xml:space="preserve">Degno di nota è poi il </w:t>
      </w:r>
      <w:r>
        <w:rPr>
          <w:rFonts w:cs="Calibri"/>
          <w:lang w:eastAsia="en-US"/>
        </w:rPr>
        <w:t>SIMBIOTIC,  progetto di restauro ambientale sviluppato congiuntamente dai partner con lo scopo di incrementare la connettività ecologica e le rotte migratorie tra Gozo e la Sicilia sudorientale, di migliorare la gestione delle aree protette, favorire la conoscenza del patrimonio naturalistico e rafforzare la consapevolezza a livello locale delle tematiche ambientali mediante specifici progetti pilota. Considerata l’elevata valenza paesaggistica e turistico - ricreativa dell’area individuata, il</w:t>
      </w:r>
      <w:r>
        <w:rPr>
          <w:rFonts w:cs="Open Sans"/>
          <w:color w:val="000000"/>
        </w:rPr>
        <w:t xml:space="preserve"> </w:t>
      </w:r>
      <w:r>
        <w:rPr>
          <w:rFonts w:cs="Calibri"/>
          <w:lang w:eastAsia="en-US"/>
        </w:rPr>
        <w:t>progetto di restauro ecologico prende in considerazione anche la fruizione sostenibile dell’area restaurata. Questo progetto di restauro ambientale è il risultato di dibattiti e discussioni svolti in occasione di vari workshop. Il SIMBIOTIC ci dimostra  che le decisioni assunte da un confronto tra le parti sono più soggette ad essere rispettate e messe in atto rispetto a quelle prese unilateralmente.</w:t>
      </w:r>
      <w:r>
        <w:rPr>
          <w:rStyle w:val="Richiamoallanotaapidipagina"/>
          <w:rFonts w:cs="Calibri"/>
          <w:lang w:eastAsia="en-US"/>
        </w:rPr>
        <w:footnoteReference w:id="14"/>
      </w:r>
    </w:p>
    <w:p>
      <w:pPr>
        <w:pStyle w:val="NoSpacing"/>
        <w:spacing w:lineRule="auto" w:line="360"/>
        <w:jc w:val="both"/>
        <w:rPr>
          <w:rFonts w:cs="Open Sans"/>
          <w:color w:val="000000"/>
        </w:rPr>
      </w:pPr>
      <w:r>
        <w:rPr>
          <w:rFonts w:cs="Open Sans"/>
          <w:color w:val="000000"/>
        </w:rPr>
      </w:r>
    </w:p>
    <w:p>
      <w:pPr>
        <w:pStyle w:val="NoSpacing"/>
        <w:spacing w:lineRule="auto" w:line="360"/>
        <w:jc w:val="both"/>
        <w:rPr>
          <w:rStyle w:val="Richiamoallanotaapidipagina"/>
        </w:rPr>
      </w:pPr>
      <w:r>
        <w:rPr>
          <w:rFonts w:cs="Calibri"/>
          <w:lang w:eastAsia="en-US"/>
        </w:rPr>
        <w:t xml:space="preserve">In conclusione, facciamo nostre le parole del documento “Salvaguardia del creato e lavoro in Sicilia” della Conferenza episcopale siciliana (Cesi): “ […] </w:t>
      </w:r>
      <w:r>
        <w:rPr/>
        <w:t xml:space="preserve">la crisi ecologica, che investe il nostro territorio siciliano, denota una crisi di ordine etico. Si tratta, allora, di una questione che coinvolge la responsabilità di tutti. Perciò, si rende necessaria e urgente un’opera educativa volta a stimolare e sostenere la “conversione ecologica”, al fine di correggere l’errore antropologico e ristabilire la verità sull’uomo e sul posto e il ruolo che egli occupa nella creazione. Questa </w:t>
      </w:r>
      <w:r>
        <w:rPr>
          <w:b/>
          <w:i/>
        </w:rPr>
        <w:t>conversione ecologica</w:t>
      </w:r>
      <w:r>
        <w:rPr/>
        <w:t xml:space="preserve"> riguarda le Istituzioni socio-politiche, che dovrebbero favorire forme di </w:t>
      </w:r>
      <w:r>
        <w:rPr>
          <w:b/>
          <w:i/>
        </w:rPr>
        <w:t>sviluppo compatibile con l’ambiente e con la vocazione lavorativa del nostro territorio</w:t>
      </w:r>
      <w:r>
        <w:rPr/>
        <w:t>,  riguarda, inoltre, le stesse Imprese, come pure tutti i cittadini e le comunità cristiane, che, da parte loro, devono formarsi a stili di vita improntati alla sobrietà e alla essenzialità e a valori che rispettano responsabilmente il creato e le sue risorse”.</w:t>
      </w:r>
      <w:r>
        <w:rPr>
          <w:rStyle w:val="Richiamoallanotaapidipagina"/>
        </w:rPr>
        <w:footnoteReference w:id="15"/>
      </w:r>
    </w:p>
    <w:p>
      <w:pPr>
        <w:pStyle w:val="NoSpacing"/>
        <w:spacing w:lineRule="auto" w:line="360"/>
        <w:jc w:val="both"/>
        <w:rPr>
          <w:rStyle w:val="Richiamoallanotaapidipagina"/>
        </w:rPr>
      </w:pPr>
      <w:r>
        <w:rPr/>
        <w:t xml:space="preserve">Non dobbiamo infine dimenticare il V Convegno ecclesiale nazionale “In Gesù Cristo il nuovo umanesimo” (Firenze, 9-13 novembre), </w:t>
      </w:r>
      <w:r>
        <w:rPr>
          <w:shd w:fill="FFFFFF" w:val="clear"/>
        </w:rPr>
        <w:t>che affronterà il trapasso culturale e sociale che caratterizza il nostro tempo e che incide sempre più nella mentalità e nel costume delle persone. Alla luce di questa introduzione, le parole “rinnovata etica civile”, “conversione ecologica”, e aggiungiamo “nuovo umanesimo”, esprimono, a nostro avviso, la necessità di invertire la rotta, di mettere in campo davvero passione e coraggio per la salvaguardia del creato</w:t>
      </w:r>
      <w:r>
        <w:rPr/>
        <w:t xml:space="preserve">, perché “la terra ci appartiene” ,concludono i vescovi, e “tutti siamo chiamati a questo compito che si fa premura già nelle scuole accrescendo la coscienza ecologica viva tra i giovani. Si tratta di concretizzare quella </w:t>
      </w:r>
      <w:r>
        <w:rPr>
          <w:b/>
          <w:i/>
        </w:rPr>
        <w:t>conversione ecologica</w:t>
      </w:r>
      <w:r>
        <w:rPr/>
        <w:t xml:space="preserve"> che ci porta a ritrovare il gusto per la bellezza della terra e lo stupore davanti alle sue meraviglie”.</w:t>
      </w:r>
      <w:r>
        <w:rPr>
          <w:rStyle w:val="Richiamoallanotaapidipagina"/>
        </w:rPr>
        <w:footnoteReference w:id="16"/>
      </w:r>
    </w:p>
    <w:p>
      <w:pPr>
        <w:pStyle w:val="NoSpacing"/>
        <w:spacing w:lineRule="auto" w:line="360"/>
        <w:jc w:val="both"/>
        <w:rPr/>
      </w:pPr>
      <w:r>
        <w:rPr/>
      </w:r>
    </w:p>
    <w:sectPr>
      <w:footerReference w:type="default" r:id="rId4"/>
      <w:footnotePr>
        <w:numFmt w:val="decimal"/>
      </w:footnotePr>
      <w:type w:val="nextPage"/>
      <w:pgSz w:w="11906" w:h="16838"/>
      <w:pgMar w:left="1134" w:right="1134" w:header="0" w:top="1417" w:footer="708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Pidipagina"/>
      <w:rPr/>
    </w:pPr>
    <w:r>
      <w:rPr/>
    </w:r>
  </w:p>
</w:ftr>
</file>

<file path=word/footnotes.xml><?xml version="1.0" encoding="utf-8"?>
<w:footnotes xmlns:w="http://schemas.openxmlformats.org/wordprocessingml/2006/main" xmlns:r="http://schemas.openxmlformats.org/officeDocument/2006/relationships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apidipagina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 xml:space="preserve">G. Ravasi, </w:t>
      </w:r>
      <w:r>
        <w:rPr>
          <w:i/>
        </w:rPr>
        <w:t>La nuova Bibbia per la famiglia</w:t>
      </w:r>
      <w:r>
        <w:rPr/>
        <w:t>, San Paolo, 2009, Vol. I, pag.24</w:t>
      </w:r>
    </w:p>
  </w:footnote>
  <w:footnote w:id="3">
    <w:p>
      <w:pPr>
        <w:pStyle w:val="Notaapidipagina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Da Coscienza, bimestrale del Movimento ecclesiale di impegno culturale, anno61, numero 1-2 del 2009, pag.3-53</w:t>
      </w:r>
    </w:p>
  </w:footnote>
  <w:footnote w:id="4">
    <w:p>
      <w:pPr>
        <w:pStyle w:val="Notaapidipagina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 xml:space="preserve">Mozione di indirizzo, </w:t>
      </w:r>
      <w:r>
        <w:rPr>
          <w:i/>
        </w:rPr>
        <w:t xml:space="preserve">Naturalmente responsabili, </w:t>
      </w:r>
      <w:r>
        <w:rPr/>
        <w:t xml:space="preserve"> di Matilde Boldrini (gruppo Fuci di Rimini) Assemblea federale 2014 Padova</w:t>
      </w:r>
    </w:p>
  </w:footnote>
  <w:footnote w:id="5">
    <w:p>
      <w:pPr>
        <w:pStyle w:val="Notaapidipagina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 xml:space="preserve">Mozione di indirizzo, </w:t>
      </w:r>
      <w:r>
        <w:rPr>
          <w:i/>
        </w:rPr>
        <w:t xml:space="preserve">Nutrire il pianeta, nutrire noi stessi: l’alimentazione e il nutrimento dell’uomo. Cibo, energia, pianeta, vita., </w:t>
      </w:r>
      <w:r>
        <w:rPr/>
        <w:t>di Francesco Dulio (gruppo Fuci Lombardia), Assemblea federale 2014 Padova</w:t>
      </w:r>
    </w:p>
  </w:footnote>
  <w:footnote w:id="6">
    <w:p>
      <w:pPr>
        <w:pStyle w:val="Notaapidipagina"/>
        <w:rPr/>
      </w:pPr>
      <w:r>
        <w:rPr>
          <w:rStyle w:val="Footnotereference"/>
        </w:rPr>
        <w:footnoteRef/>
        <w:tab/>
      </w:r>
      <w:r>
        <w:rPr>
          <w:i/>
        </w:rPr>
        <w:t xml:space="preserve"> </w:t>
      </w:r>
      <w:r>
        <w:rPr/>
        <w:t xml:space="preserve">G. Ravasi, </w:t>
      </w:r>
      <w:r>
        <w:rPr>
          <w:i/>
        </w:rPr>
        <w:t>La nuova Bibbia per la famiglia</w:t>
      </w:r>
      <w:r>
        <w:rPr/>
        <w:t>, San Paolo, 2009, Vol. 9, pag. 27</w:t>
      </w:r>
    </w:p>
  </w:footnote>
  <w:footnote w:id="7">
    <w:p>
      <w:pPr>
        <w:pStyle w:val="Notaapidipagina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>
          <w:i/>
        </w:rPr>
        <w:t>Custodia del creato: “Collaboratori di Dio nel suo campo”,</w:t>
      </w:r>
      <w:r>
        <w:rPr/>
        <w:t xml:space="preserve"> di F. Caporali, pubblicato il 1-9-2014 su www.meic.it</w:t>
      </w:r>
    </w:p>
  </w:footnote>
  <w:footnote w:id="8">
    <w:p>
      <w:pPr>
        <w:pStyle w:val="Notaapidipagina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 xml:space="preserve">Conferenza episcopale italiana, </w:t>
      </w:r>
      <w:r>
        <w:rPr>
          <w:i/>
        </w:rPr>
        <w:t>Messaggio per la 9° Giornata per la custodia del creato</w:t>
      </w:r>
      <w:r>
        <w:rPr/>
        <w:t>, 1-9-2014, www.chiesacattolica.it</w:t>
      </w:r>
    </w:p>
  </w:footnote>
  <w:footnote w:id="9">
    <w:p>
      <w:pPr>
        <w:pStyle w:val="Notaapidipagina"/>
        <w:rPr>
          <w:i/>
        </w:rPr>
      </w:pPr>
      <w:r>
        <w:rPr>
          <w:rStyle w:val="Footnotereference"/>
        </w:rPr>
        <w:footnoteRef/>
        <w:tab/>
      </w:r>
      <w:r>
        <w:rPr>
          <w:i/>
        </w:rPr>
        <w:t xml:space="preserve"> </w:t>
      </w:r>
      <w:r>
        <w:rPr>
          <w:i/>
        </w:rPr>
        <w:t>ibidem</w:t>
      </w:r>
    </w:p>
  </w:footnote>
  <w:footnote w:id="10">
    <w:p>
      <w:pPr>
        <w:pStyle w:val="Notaapidipagina"/>
        <w:rPr>
          <w:i/>
        </w:rPr>
      </w:pPr>
      <w:r>
        <w:rPr>
          <w:rStyle w:val="Footnotereference"/>
        </w:rPr>
        <w:footnoteRef/>
        <w:tab/>
      </w:r>
      <w:r>
        <w:rPr/>
        <w:t xml:space="preserve"> </w:t>
      </w:r>
      <w:r>
        <w:rPr>
          <w:i/>
        </w:rPr>
        <w:t>ibidem</w:t>
      </w:r>
    </w:p>
  </w:footnote>
  <w:footnote w:id="11">
    <w:p>
      <w:pPr>
        <w:pStyle w:val="Notaapidipagina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 xml:space="preserve">G. Rossi, </w:t>
      </w:r>
      <w:r>
        <w:rPr>
          <w:i/>
        </w:rPr>
        <w:t>Ambiente e sviluppo in Sicilia: il contributo delle comunità ecclesiali</w:t>
      </w:r>
      <w:r>
        <w:rPr/>
        <w:t>, documento Conferenza episcopale siciliana, 1993</w:t>
      </w:r>
    </w:p>
  </w:footnote>
  <w:footnote w:id="12">
    <w:p>
      <w:pPr>
        <w:pStyle w:val="Notaapidipagina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>
          <w:i/>
        </w:rPr>
        <w:t>Giardini mediterranei tra Sicilia e Malta</w:t>
      </w:r>
      <w:r>
        <w:rPr/>
        <w:t>, (Mediterranean Gardens from Sicily to Malta), P.O. Italia-Malta 2007-2013, Università di Catania, Orto botanico, Comune di Siracusa, Morrone editore, 2012</w:t>
      </w:r>
    </w:p>
  </w:footnote>
  <w:footnote w:id="13">
    <w:p>
      <w:pPr>
        <w:pStyle w:val="Notaapidipagina"/>
        <w:rPr>
          <w:i/>
        </w:rPr>
      </w:pPr>
      <w:r>
        <w:rPr>
          <w:rStyle w:val="Footnotereference"/>
        </w:rPr>
        <w:footnoteRef/>
        <w:tab/>
      </w:r>
      <w:r>
        <w:rPr/>
        <w:t xml:space="preserve"> </w:t>
      </w:r>
      <w:r>
        <w:rPr>
          <w:i/>
        </w:rPr>
        <w:t>ibidem</w:t>
      </w:r>
    </w:p>
  </w:footnote>
  <w:footnote w:id="14">
    <w:p>
      <w:pPr>
        <w:pStyle w:val="Notaapidipagina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Simbiotic, enhancing Sicily-Malta BioGeographical, Transboundary insular connectivity, P.O. Italia-Malta 2007-2013, relazione tecnica, Comune di Pachino (Sr)</w:t>
      </w:r>
    </w:p>
  </w:footnote>
  <w:footnote w:id="15">
    <w:p>
      <w:pPr>
        <w:pStyle w:val="Notaapidipagina"/>
        <w:rPr>
          <w:rFonts w:cs="Calibri"/>
          <w:lang w:eastAsia="en-US"/>
        </w:rPr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 xml:space="preserve">Conferenza episcopale siciliana, </w:t>
      </w:r>
      <w:r>
        <w:rPr>
          <w:rFonts w:cs="Calibri"/>
          <w:i/>
          <w:lang w:eastAsia="en-US"/>
        </w:rPr>
        <w:t>Salvaguardia del creato e lavoro in Sicilia</w:t>
      </w:r>
      <w:r>
        <w:rPr>
          <w:rFonts w:cs="Calibri"/>
          <w:lang w:eastAsia="en-US"/>
        </w:rPr>
        <w:t>, Palermo, 2005</w:t>
      </w:r>
    </w:p>
  </w:footnote>
  <w:footnote w:id="16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 xml:space="preserve">Conferenza episcopale italiana, </w:t>
      </w:r>
      <w:r>
        <w:rPr>
          <w:i/>
        </w:rPr>
        <w:t>Messaggio per la 9° Giornata per la custodia del creato</w:t>
      </w:r>
      <w:r>
        <w:rPr/>
        <w:t>, 1-9-2014, www.chiesacattolica.it</w:t>
      </w:r>
    </w:p>
    <w:p>
      <w:pPr>
        <w:pStyle w:val="Notaapidipagina"/>
        <w:rPr/>
      </w:pPr>
      <w:r>
        <w:rPr/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it-IT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a744a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A11" w:customStyle="1">
    <w:name w:val="A11"/>
    <w:uiPriority w:val="99"/>
    <w:rsid w:val="00e60e07"/>
    <w:rPr>
      <w:rFonts w:cs="Open Sans"/>
      <w:color w:val="000000"/>
      <w:sz w:val="20"/>
      <w:szCs w:val="20"/>
    </w:rPr>
  </w:style>
  <w:style w:type="character" w:styleId="A14" w:customStyle="1">
    <w:name w:val="A14"/>
    <w:uiPriority w:val="99"/>
    <w:rsid w:val="00e60e07"/>
    <w:rPr>
      <w:rFonts w:cs="Open Sans"/>
      <w:color w:val="000000"/>
      <w:sz w:val="19"/>
      <w:szCs w:val="19"/>
    </w:rPr>
  </w:style>
  <w:style w:type="character" w:styleId="Appleconvertedspace" w:customStyle="1">
    <w:name w:val="apple-converted-space"/>
    <w:rsid w:val="000c532c"/>
    <w:basedOn w:val="DefaultParagraphFont"/>
    <w:rPr/>
  </w:style>
  <w:style w:type="character" w:styleId="Strong">
    <w:name w:val="Strong"/>
    <w:uiPriority w:val="22"/>
    <w:qFormat/>
    <w:rsid w:val="000c532c"/>
    <w:basedOn w:val="DefaultParagraphFont"/>
    <w:rPr>
      <w:b/>
      <w:bCs/>
    </w:rPr>
  </w:style>
  <w:style w:type="character" w:styleId="IntestazioneCarattere" w:customStyle="1">
    <w:name w:val="Intestazione Carattere"/>
    <w:uiPriority w:val="99"/>
    <w:semiHidden/>
    <w:link w:val="Intestazione"/>
    <w:rsid w:val="004e0472"/>
    <w:basedOn w:val="DefaultParagraphFont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idipaginaCarattere" w:customStyle="1">
    <w:name w:val="Piè di pagina Carattere"/>
    <w:uiPriority w:val="99"/>
    <w:link w:val="Pidipagina"/>
    <w:rsid w:val="004e0472"/>
    <w:basedOn w:val="DefaultParagraphFont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TestonotaapidipaginaCarattere" w:customStyle="1">
    <w:name w:val="Testo nota a piè di pagina Carattere"/>
    <w:uiPriority w:val="99"/>
    <w:semiHidden/>
    <w:link w:val="Testonotaapidipagina"/>
    <w:rsid w:val="004e0472"/>
    <w:basedOn w:val="DefaultParagraphFont"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Footnotereference">
    <w:name w:val="footnote reference"/>
    <w:uiPriority w:val="99"/>
    <w:semiHidden/>
    <w:unhideWhenUsed/>
    <w:rsid w:val="004e0472"/>
    <w:basedOn w:val="DefaultParagraphFont"/>
    <w:rPr>
      <w:vertAlign w:val="superscript"/>
    </w:rPr>
  </w:style>
  <w:style w:type="character" w:styleId="Caratteredellanota">
    <w:name w:val="Carattere della nota"/>
    <w:rPr/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enotadichiusura">
    <w:name w:val="Carattere nota di chiusura"/>
    <w:rPr/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b5311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it-IT" w:val="it-IT" w:bidi="ar-SA"/>
    </w:rPr>
  </w:style>
  <w:style w:type="paragraph" w:styleId="Intestazione">
    <w:name w:val="Intestazione"/>
    <w:uiPriority w:val="99"/>
    <w:semiHidden/>
    <w:unhideWhenUsed/>
    <w:link w:val="IntestazioneCarattere"/>
    <w:rsid w:val="004e0472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Piè di pagina"/>
    <w:uiPriority w:val="99"/>
    <w:unhideWhenUsed/>
    <w:link w:val="PidipaginaCarattere"/>
    <w:rsid w:val="004e0472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notetext">
    <w:name w:val="footnote text"/>
    <w:uiPriority w:val="99"/>
    <w:semiHidden/>
    <w:unhideWhenUsed/>
    <w:link w:val="TestonotaapidipaginaCarattere"/>
    <w:rsid w:val="004e0472"/>
    <w:basedOn w:val="Normal"/>
    <w:pPr/>
    <w:rPr>
      <w:sz w:val="20"/>
      <w:szCs w:val="20"/>
    </w:rPr>
  </w:style>
  <w:style w:type="paragraph" w:styleId="Notaapidipagina">
    <w:name w:val="Nota a piè di pagina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74A15-BECD-4F77-A505-A0F2D97BE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2015-02-24T15:42:00Z</dcterms:created>
  <dc:creator>utente</dc:creator>
  <dc:language>it-IT</dc:language>
  <cp:lastModifiedBy>utente</cp:lastModifiedBy>
  <cp:lastPrinted>2015-03-11T21:58:09Z</cp:lastPrinted>
  <dcterms:modified xsi:type="dcterms:W3CDTF">2015-03-11T11:08:00Z</dcterms:modified>
  <cp:revision>20</cp:revision>
</cp:coreProperties>
</file>